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16" w:rsidRDefault="00F72A5F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949325</wp:posOffset>
                </wp:positionH>
                <wp:positionV relativeFrom="page">
                  <wp:posOffset>3453765</wp:posOffset>
                </wp:positionV>
                <wp:extent cx="1085215" cy="0"/>
                <wp:effectExtent l="6350" t="15240" r="13335" b="133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852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3B1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4.75pt;margin-top:271.95pt;width:85.4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2162810</wp:posOffset>
                </wp:positionH>
                <wp:positionV relativeFrom="page">
                  <wp:posOffset>3456305</wp:posOffset>
                </wp:positionV>
                <wp:extent cx="1048385" cy="0"/>
                <wp:effectExtent l="10160" t="8255" r="825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04838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F8055" id="AutoShape 4" o:spid="_x0000_s1026" type="#_x0000_t32" style="position:absolute;margin-left:170.3pt;margin-top:272.15pt;width:82.5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after="307" w:line="264" w:lineRule="exact"/>
        <w:ind w:left="20" w:right="20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Стартовал V Всероссийский конкурс личных достижений пенсионеров в изучении компьютерной грамотности "Спасибо Интернету-2019". Организаторы Пенсионный фонд России и ПАО "Ростелеком". Приглашаем пенсионеров, слушателей курсов принять участие в конкурсе.</w:t>
      </w:r>
    </w:p>
    <w:p w:rsidR="00600816" w:rsidRPr="00F57AC1" w:rsidRDefault="00F57AC1">
      <w:pPr>
        <w:pStyle w:val="21"/>
        <w:framePr w:w="9168" w:h="14189" w:hRule="exact" w:wrap="around" w:vAnchor="page" w:hAnchor="page" w:x="1383" w:y="1892"/>
        <w:shd w:val="clear" w:color="auto" w:fill="auto"/>
        <w:spacing w:before="0" w:after="147" w:line="180" w:lineRule="exact"/>
        <w:ind w:left="20"/>
        <w:jc w:val="left"/>
        <w:rPr>
          <w:sz w:val="24"/>
          <w:szCs w:val="24"/>
        </w:rPr>
      </w:pPr>
      <w:r>
        <w:rPr>
          <w:sz w:val="24"/>
          <w:szCs w:val="24"/>
        </w:rPr>
        <w:t>Н</w:t>
      </w:r>
      <w:r w:rsidR="003B121A" w:rsidRPr="00F57AC1">
        <w:rPr>
          <w:sz w:val="24"/>
          <w:szCs w:val="24"/>
        </w:rPr>
        <w:t>оминации конкурса: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Портал </w:t>
      </w:r>
      <w:r w:rsidRPr="00F57AC1">
        <w:rPr>
          <w:sz w:val="24"/>
          <w:szCs w:val="24"/>
          <w:lang w:val="en-US" w:eastAsia="en-US" w:bidi="en-US"/>
        </w:rPr>
        <w:t>gosuslugi</w:t>
      </w:r>
      <w:r w:rsidRPr="00F57AC1">
        <w:rPr>
          <w:sz w:val="24"/>
          <w:szCs w:val="24"/>
          <w:lang w:eastAsia="en-US" w:bidi="en-US"/>
        </w:rPr>
        <w:t>.</w:t>
      </w:r>
      <w:r w:rsidRPr="00F57AC1">
        <w:rPr>
          <w:sz w:val="24"/>
          <w:szCs w:val="24"/>
          <w:lang w:val="en-US" w:eastAsia="en-US" w:bidi="en-US"/>
        </w:rPr>
        <w:t>ru</w:t>
      </w:r>
      <w:r w:rsidRPr="00F57AC1">
        <w:rPr>
          <w:sz w:val="24"/>
          <w:szCs w:val="24"/>
          <w:lang w:eastAsia="en-US" w:bidi="en-US"/>
        </w:rPr>
        <w:t xml:space="preserve">: </w:t>
      </w:r>
      <w:r w:rsidRPr="00F57AC1">
        <w:rPr>
          <w:sz w:val="24"/>
          <w:szCs w:val="24"/>
        </w:rPr>
        <w:t>мой опыт;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Мои интернет-достижения;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Интернет-предприниматель, интернет - работодатель;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after="24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Моя общественная интернет-инициатива.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Принять участие в конкурсе могут граждане старшего возраста 50+.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line="264" w:lineRule="exact"/>
        <w:ind w:left="20" w:right="20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Участнику нужно подготовить историю-эссе на одну из тем номинаций и прикрепить два фото (портретное и с компьютером).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after="307" w:line="264" w:lineRule="exact"/>
        <w:ind w:left="20" w:right="20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Затем зайти на сайт </w:t>
      </w:r>
      <w:r w:rsidRPr="00F57AC1">
        <w:rPr>
          <w:sz w:val="24"/>
          <w:szCs w:val="24"/>
          <w:lang w:val="en-US" w:eastAsia="en-US" w:bidi="en-US"/>
        </w:rPr>
        <w:t>azbukaintemeta</w:t>
      </w:r>
      <w:r w:rsidRPr="00F57AC1">
        <w:rPr>
          <w:sz w:val="24"/>
          <w:szCs w:val="24"/>
          <w:lang w:eastAsia="en-US" w:bidi="en-US"/>
        </w:rPr>
        <w:t>.</w:t>
      </w:r>
      <w:r w:rsidRPr="00F57AC1">
        <w:rPr>
          <w:sz w:val="24"/>
          <w:szCs w:val="24"/>
          <w:lang w:val="en-US" w:eastAsia="en-US" w:bidi="en-US"/>
        </w:rPr>
        <w:t>ru</w:t>
      </w:r>
      <w:r w:rsidRPr="00F57AC1">
        <w:rPr>
          <w:sz w:val="24"/>
          <w:szCs w:val="24"/>
          <w:lang w:eastAsia="en-US" w:bidi="en-US"/>
        </w:rPr>
        <w:t xml:space="preserve"> </w:t>
      </w:r>
      <w:r w:rsidRPr="00F57AC1">
        <w:rPr>
          <w:sz w:val="24"/>
          <w:szCs w:val="24"/>
        </w:rPr>
        <w:t xml:space="preserve">в раздел "Конкурс”. Слева выбрать пункт "заявка на участие. Заполнить поля формы и прикрепить три файла (работу в формате </w:t>
      </w:r>
      <w:r w:rsidRPr="00F57AC1">
        <w:rPr>
          <w:sz w:val="24"/>
          <w:szCs w:val="24"/>
          <w:lang w:val="en-US" w:eastAsia="en-US" w:bidi="en-US"/>
        </w:rPr>
        <w:t>Word</w:t>
      </w:r>
      <w:r w:rsidRPr="00F57AC1">
        <w:rPr>
          <w:sz w:val="24"/>
          <w:szCs w:val="24"/>
          <w:lang w:eastAsia="en-US" w:bidi="en-US"/>
        </w:rPr>
        <w:t xml:space="preserve"> </w:t>
      </w:r>
      <w:r w:rsidRPr="00F57AC1">
        <w:rPr>
          <w:sz w:val="24"/>
          <w:szCs w:val="24"/>
        </w:rPr>
        <w:t xml:space="preserve">и два фото). </w:t>
      </w:r>
      <w:hyperlink r:id="rId7" w:history="1">
        <w:r w:rsidRPr="00F57AC1">
          <w:rPr>
            <w:rStyle w:val="a3"/>
            <w:sz w:val="24"/>
            <w:szCs w:val="24"/>
            <w:lang w:val="en-US" w:eastAsia="en-US" w:bidi="en-US"/>
          </w:rPr>
          <w:t>http</w:t>
        </w:r>
        <w:r w:rsidRPr="00F57AC1">
          <w:rPr>
            <w:rStyle w:val="a3"/>
            <w:sz w:val="24"/>
            <w:szCs w:val="24"/>
            <w:lang w:eastAsia="en-US" w:bidi="en-US"/>
          </w:rPr>
          <w:t>://</w:t>
        </w:r>
        <w:r w:rsidRPr="00F57AC1">
          <w:rPr>
            <w:rStyle w:val="a3"/>
            <w:sz w:val="24"/>
            <w:szCs w:val="24"/>
            <w:lang w:val="en-US" w:eastAsia="en-US" w:bidi="en-US"/>
          </w:rPr>
          <w:t>azbukaintemeta</w:t>
        </w:r>
        <w:r w:rsidRPr="00F57AC1">
          <w:rPr>
            <w:rStyle w:val="a3"/>
            <w:sz w:val="24"/>
            <w:szCs w:val="24"/>
            <w:lang w:eastAsia="en-US" w:bidi="en-US"/>
          </w:rPr>
          <w:t>.</w:t>
        </w:r>
        <w:r w:rsidRPr="00F57AC1">
          <w:rPr>
            <w:rStyle w:val="a3"/>
            <w:sz w:val="24"/>
            <w:szCs w:val="24"/>
            <w:lang w:val="en-US" w:eastAsia="en-US" w:bidi="en-US"/>
          </w:rPr>
          <w:t>ru</w:t>
        </w:r>
        <w:r w:rsidRPr="00F57AC1">
          <w:rPr>
            <w:rStyle w:val="a3"/>
            <w:sz w:val="24"/>
            <w:szCs w:val="24"/>
            <w:lang w:eastAsia="en-US" w:bidi="en-US"/>
          </w:rPr>
          <w:t>/</w:t>
        </w:r>
        <w:r w:rsidRPr="00F57AC1">
          <w:rPr>
            <w:rStyle w:val="a3"/>
            <w:sz w:val="24"/>
            <w:szCs w:val="24"/>
            <w:lang w:val="en-US" w:eastAsia="en-US" w:bidi="en-US"/>
          </w:rPr>
          <w:t>konkurs</w:t>
        </w:r>
        <w:r w:rsidRPr="00F57AC1">
          <w:rPr>
            <w:rStyle w:val="a3"/>
            <w:sz w:val="24"/>
            <w:szCs w:val="24"/>
            <w:lang w:eastAsia="en-US" w:bidi="en-US"/>
          </w:rPr>
          <w:t>/</w:t>
        </w:r>
        <w:r w:rsidRPr="00F57AC1">
          <w:rPr>
            <w:rStyle w:val="a3"/>
            <w:sz w:val="24"/>
            <w:szCs w:val="24"/>
            <w:lang w:val="en-US" w:eastAsia="en-US" w:bidi="en-US"/>
          </w:rPr>
          <w:t>zayavka</w:t>
        </w:r>
        <w:r w:rsidRPr="00F57AC1">
          <w:rPr>
            <w:rStyle w:val="a3"/>
            <w:sz w:val="24"/>
            <w:szCs w:val="24"/>
            <w:lang w:eastAsia="en-US" w:bidi="en-US"/>
          </w:rPr>
          <w:t>/</w:t>
        </w:r>
        <w:r w:rsidRPr="00F57AC1">
          <w:rPr>
            <w:rStyle w:val="a3"/>
            <w:sz w:val="24"/>
            <w:szCs w:val="24"/>
            <w:lang w:val="en-US" w:eastAsia="en-US" w:bidi="en-US"/>
          </w:rPr>
          <w:t>index</w:t>
        </w:r>
        <w:r w:rsidRPr="00F57AC1">
          <w:rPr>
            <w:rStyle w:val="a3"/>
            <w:sz w:val="24"/>
            <w:szCs w:val="24"/>
            <w:lang w:eastAsia="en-US" w:bidi="en-US"/>
          </w:rPr>
          <w:t>.</w:t>
        </w:r>
        <w:r w:rsidRPr="00F57AC1">
          <w:rPr>
            <w:rStyle w:val="a3"/>
            <w:sz w:val="24"/>
            <w:szCs w:val="24"/>
            <w:lang w:val="en-US" w:eastAsia="en-US" w:bidi="en-US"/>
          </w:rPr>
          <w:t>php</w:t>
        </w:r>
      </w:hyperlink>
      <w:r w:rsidRPr="00F57AC1">
        <w:rPr>
          <w:sz w:val="24"/>
          <w:szCs w:val="24"/>
          <w:lang w:eastAsia="en-US" w:bidi="en-US"/>
        </w:rPr>
        <w:t xml:space="preserve"> </w:t>
      </w:r>
      <w:r w:rsidRPr="00F57AC1">
        <w:rPr>
          <w:sz w:val="24"/>
          <w:szCs w:val="24"/>
        </w:rPr>
        <w:t>- ссылка на форму заявки.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line="180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Этапы проведения конкурса: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2"/>
        </w:numPr>
        <w:shd w:val="clear" w:color="auto" w:fill="auto"/>
        <w:spacing w:before="0" w:line="264" w:lineRule="exact"/>
        <w:ind w:left="20" w:right="20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этап: с 17 апреля 2019 года по 14 октября 2019 года - прием заявок и регистрация конкурсных работ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2"/>
        </w:numPr>
        <w:shd w:val="clear" w:color="auto" w:fill="auto"/>
        <w:spacing w:before="0" w:line="264" w:lineRule="exact"/>
        <w:ind w:left="20" w:right="20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этап: с 15 октября 2019 года по 3 ноября 2019 года - рассмотрение конкурсных работ Конкурсной комиссией и подведение итогов.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2"/>
        </w:numPr>
        <w:shd w:val="clear" w:color="auto" w:fill="auto"/>
        <w:spacing w:before="0" w:after="236" w:line="264" w:lineRule="exact"/>
        <w:ind w:left="20" w:right="20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этап: в ноябре 2019 года - торжественное объявление Конкурсной комиссией итогов Конкурса и награждение победителей. Даты будут объявлены на странице Конкурса дополнительно.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after="240" w:line="269" w:lineRule="exact"/>
        <w:ind w:left="20" w:right="20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Более подробная информация о правилах и условиях участия в разделе "Конкурс" на сайте.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line="269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Всероссийский конкурс "Спасибо Интернету" проводится с 2015 года.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after="29" w:line="269" w:lineRule="exact"/>
        <w:ind w:left="20" w:right="20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Традиционно его участниками являются пенсионеры из 76 регионов России. В прошлом году призерами стали 12 человек. И еще 14 были отмечены специальными призами по итогам.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line="533" w:lineRule="exact"/>
        <w:ind w:left="20"/>
        <w:jc w:val="left"/>
        <w:rPr>
          <w:b/>
          <w:sz w:val="24"/>
          <w:szCs w:val="24"/>
        </w:rPr>
      </w:pPr>
      <w:r w:rsidRPr="00F57AC1">
        <w:rPr>
          <w:b/>
          <w:sz w:val="24"/>
          <w:szCs w:val="24"/>
        </w:rPr>
        <w:t>А так выглядел Топ самых активных регионов по годам.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shd w:val="clear" w:color="auto" w:fill="auto"/>
        <w:spacing w:before="0" w:line="533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2018 год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533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Республика Татарстан -506 участников (14,96%)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Воронежская область - 331 участника (9,81%)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Московская область - 179 участников (5,29%)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Ульяновская область - 176 участников (5,20%)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Ростовская область- 156 участников (4,61%)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Красноярский край - 142 участника (4,20%)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Саратовская область - 131 участник (3,87%)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Тюменская область - 130 участников (3,84%)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Краснодарский край - 126 участников (3,72%)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Курганская область - 103 участника (3,04%)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Иркутская область -100 участников (2,96%)</w:t>
      </w:r>
    </w:p>
    <w:p w:rsidR="00600816" w:rsidRPr="00F57AC1" w:rsidRDefault="003B121A">
      <w:pPr>
        <w:pStyle w:val="21"/>
        <w:framePr w:w="9168" w:h="14189" w:hRule="exact" w:wrap="around" w:vAnchor="page" w:hAnchor="page" w:x="1383" w:y="1892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Санкт-Петербург - 87 участников (2,57%)</w:t>
      </w:r>
    </w:p>
    <w:p w:rsidR="00600816" w:rsidRDefault="00600816"/>
    <w:p w:rsidR="00F57AC1" w:rsidRDefault="00F57AC1"/>
    <w:p w:rsidR="00F57AC1" w:rsidRPr="00F57AC1" w:rsidRDefault="00F57AC1" w:rsidP="00F57AC1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F57AC1">
        <w:rPr>
          <w:rFonts w:ascii="Times New Roman" w:hAnsi="Times New Roman" w:cs="Times New Roman"/>
          <w:b/>
        </w:rPr>
        <w:t xml:space="preserve">                    </w:t>
      </w:r>
    </w:p>
    <w:p w:rsidR="00F57AC1" w:rsidRDefault="00F57AC1" w:rsidP="00F57A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F57AC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F57AC1" w:rsidRDefault="00F57AC1" w:rsidP="00F57A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  <w:r w:rsidRPr="00F57AC1">
        <w:rPr>
          <w:rFonts w:ascii="Times New Roman" w:hAnsi="Times New Roman" w:cs="Times New Roman"/>
          <w:b/>
        </w:rPr>
        <w:t>ПЕНСИОНЕРОВ ЮГРЫ ПРИГЛАШАЮТ ПРИНЯТЬ УЧАСТИЕ В КОНКУРСЕ</w:t>
      </w:r>
    </w:p>
    <w:p w:rsidR="00F57AC1" w:rsidRDefault="00F57AC1" w:rsidP="00F57AC1">
      <w:pPr>
        <w:rPr>
          <w:rFonts w:ascii="Times New Roman" w:hAnsi="Times New Roman" w:cs="Times New Roman"/>
          <w:b/>
        </w:rPr>
      </w:pPr>
    </w:p>
    <w:p w:rsidR="00F57AC1" w:rsidRDefault="00F57AC1" w:rsidP="00F57AC1">
      <w:pPr>
        <w:rPr>
          <w:rFonts w:ascii="Times New Roman" w:hAnsi="Times New Roman" w:cs="Times New Roman"/>
          <w:b/>
        </w:rPr>
      </w:pPr>
    </w:p>
    <w:p w:rsidR="00F57AC1" w:rsidRPr="00F57AC1" w:rsidRDefault="00F57AC1" w:rsidP="00F57AC1">
      <w:pPr>
        <w:rPr>
          <w:rFonts w:ascii="Times New Roman" w:hAnsi="Times New Roman" w:cs="Times New Roman"/>
          <w:b/>
        </w:rPr>
        <w:sectPr w:rsidR="00F57AC1" w:rsidRPr="00F57AC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lastRenderedPageBreak/>
        <w:t xml:space="preserve"> Кемеровская область- 86 участников (2,54%)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Ханты-Мансийский автономный округ - Югра - 85 участников (2,51%)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Нижегородская область - 82 (2,42%)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Оренбургская область - 78 (2,31%)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Рязанская область - 76 участников (2,25%)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Липецкая область - 56 участников (1,66%)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3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Республика Удмуртия - 52 участника (1,54%)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3"/>
        </w:numPr>
        <w:shd w:val="clear" w:color="auto" w:fill="auto"/>
        <w:spacing w:before="0" w:after="24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Вологодская область-45 участников (1,33%)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shd w:val="clear" w:color="auto" w:fill="auto"/>
        <w:spacing w:before="0" w:line="264" w:lineRule="exact"/>
        <w:ind w:left="18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2017 год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4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Республика Татарстан -464 участника (16,7%);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4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Красноярский край - 145 участников (5,24%);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4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Ульяновская область- 138 участников (4,99%);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4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Воронежская область - 132 участника (4,77%);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4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Иркутская область - 131 участник (4,74%);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4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Курганская область - 107 участников (3,87%);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4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Кемеровская область- 105 участников (3,80%);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4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Московская область- 100 участников (3,62%);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4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Ростовская область- 94 участника (3,40%);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4"/>
        </w:numPr>
        <w:shd w:val="clear" w:color="auto" w:fill="auto"/>
        <w:spacing w:before="0" w:after="24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 xml:space="preserve"> Тюменская область - 86 участников (3,11%);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shd w:val="clear" w:color="auto" w:fill="auto"/>
        <w:spacing w:before="0" w:line="264" w:lineRule="exact"/>
        <w:ind w:left="18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2016 год: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5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Республика Татарстан -373 участника (14,7%);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5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Ростовская область - 180 участник (7,1%);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5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Тверская область - 169 участников (6,7%);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5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Иркугская область - 111 участников (4,4%);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5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Красноярский край - 110 участников (4,36%);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5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Московская область - 107 участников (4,2%);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5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Республика Башкортостан - 84 участников (3,3%);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5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Тюменская область - 78 участников (3,09%);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shd w:val="clear" w:color="auto" w:fill="auto"/>
        <w:spacing w:before="0" w:line="264" w:lineRule="exact"/>
        <w:ind w:left="3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Воронежская область - 78 участников (3,09%)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numPr>
          <w:ilvl w:val="0"/>
          <w:numId w:val="5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Нижегородская область- 76 участников (3,01%);</w:t>
      </w:r>
    </w:p>
    <w:p w:rsidR="00600816" w:rsidRPr="00F57AC1" w:rsidRDefault="003B121A" w:rsidP="00F57AC1">
      <w:pPr>
        <w:pStyle w:val="21"/>
        <w:framePr w:w="6624" w:h="8885" w:hRule="exact" w:wrap="around" w:vAnchor="page" w:hAnchor="page" w:x="1546" w:y="1321"/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Ю.Ханты-Мансийский автономный округ - Югра - 74 участника (2,9%).</w:t>
      </w:r>
    </w:p>
    <w:p w:rsidR="00600816" w:rsidRPr="00F57AC1" w:rsidRDefault="003B121A" w:rsidP="00F57AC1">
      <w:pPr>
        <w:pStyle w:val="21"/>
        <w:framePr w:w="6624" w:h="2990" w:hRule="exact" w:wrap="around" w:vAnchor="page" w:hAnchor="page" w:x="1561" w:y="11086"/>
        <w:shd w:val="clear" w:color="auto" w:fill="auto"/>
        <w:spacing w:before="0" w:line="264" w:lineRule="exact"/>
        <w:ind w:left="18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2015 год:</w:t>
      </w:r>
    </w:p>
    <w:p w:rsidR="00600816" w:rsidRPr="00F57AC1" w:rsidRDefault="003B121A" w:rsidP="00F57AC1">
      <w:pPr>
        <w:pStyle w:val="21"/>
        <w:framePr w:w="6624" w:h="2990" w:hRule="exact" w:wrap="around" w:vAnchor="page" w:hAnchor="page" w:x="1561" w:y="11086"/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1 .Красноярский край - 174 участника (10,4%);</w:t>
      </w:r>
    </w:p>
    <w:p w:rsidR="00600816" w:rsidRPr="00F57AC1" w:rsidRDefault="003B121A" w:rsidP="00F57AC1">
      <w:pPr>
        <w:pStyle w:val="21"/>
        <w:framePr w:w="6624" w:h="2990" w:hRule="exact" w:wrap="around" w:vAnchor="page" w:hAnchor="page" w:x="1561" w:y="11086"/>
        <w:numPr>
          <w:ilvl w:val="0"/>
          <w:numId w:val="6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Ростовская область - 141 участник (8,4%);</w:t>
      </w:r>
    </w:p>
    <w:p w:rsidR="00600816" w:rsidRPr="00F57AC1" w:rsidRDefault="003B121A" w:rsidP="00F57AC1">
      <w:pPr>
        <w:pStyle w:val="21"/>
        <w:framePr w:w="6624" w:h="2990" w:hRule="exact" w:wrap="around" w:vAnchor="page" w:hAnchor="page" w:x="1561" w:y="11086"/>
        <w:numPr>
          <w:ilvl w:val="0"/>
          <w:numId w:val="6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Тверская область - 111 участников (6,6%);</w:t>
      </w:r>
    </w:p>
    <w:p w:rsidR="00600816" w:rsidRPr="00F57AC1" w:rsidRDefault="003B121A" w:rsidP="00F57AC1">
      <w:pPr>
        <w:pStyle w:val="21"/>
        <w:framePr w:w="6624" w:h="2990" w:hRule="exact" w:wrap="around" w:vAnchor="page" w:hAnchor="page" w:x="1561" w:y="11086"/>
        <w:numPr>
          <w:ilvl w:val="0"/>
          <w:numId w:val="6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Нижегородская область - 110 участников (6,5%);</w:t>
      </w:r>
    </w:p>
    <w:p w:rsidR="00600816" w:rsidRPr="00F57AC1" w:rsidRDefault="003B121A" w:rsidP="00F57AC1">
      <w:pPr>
        <w:pStyle w:val="21"/>
        <w:framePr w:w="6624" w:h="2990" w:hRule="exact" w:wrap="around" w:vAnchor="page" w:hAnchor="page" w:x="1561" w:y="11086"/>
        <w:numPr>
          <w:ilvl w:val="0"/>
          <w:numId w:val="6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Санкт-Петербург - 74 участника (4,4%);</w:t>
      </w:r>
    </w:p>
    <w:p w:rsidR="00600816" w:rsidRPr="00F57AC1" w:rsidRDefault="003B121A" w:rsidP="00F57AC1">
      <w:pPr>
        <w:pStyle w:val="21"/>
        <w:framePr w:w="6624" w:h="2990" w:hRule="exact" w:wrap="around" w:vAnchor="page" w:hAnchor="page" w:x="1561" w:y="11086"/>
        <w:numPr>
          <w:ilvl w:val="0"/>
          <w:numId w:val="6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Республика Башкортостан - 68 участников (4,0%);</w:t>
      </w:r>
    </w:p>
    <w:p w:rsidR="00600816" w:rsidRPr="00F57AC1" w:rsidRDefault="003B121A" w:rsidP="00F57AC1">
      <w:pPr>
        <w:pStyle w:val="21"/>
        <w:framePr w:w="6624" w:h="2990" w:hRule="exact" w:wrap="around" w:vAnchor="page" w:hAnchor="page" w:x="1561" w:y="11086"/>
        <w:numPr>
          <w:ilvl w:val="0"/>
          <w:numId w:val="6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Московская область - 60 участников (3,6%);</w:t>
      </w:r>
    </w:p>
    <w:p w:rsidR="00600816" w:rsidRPr="00F57AC1" w:rsidRDefault="003B121A" w:rsidP="00F57AC1">
      <w:pPr>
        <w:pStyle w:val="21"/>
        <w:framePr w:w="6624" w:h="2990" w:hRule="exact" w:wrap="around" w:vAnchor="page" w:hAnchor="page" w:x="1561" w:y="11086"/>
        <w:numPr>
          <w:ilvl w:val="0"/>
          <w:numId w:val="6"/>
        </w:numPr>
        <w:shd w:val="clear" w:color="auto" w:fill="auto"/>
        <w:spacing w:before="0" w:line="264" w:lineRule="exact"/>
        <w:ind w:left="2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Курганская область - 47 участников (2.8%);</w:t>
      </w:r>
    </w:p>
    <w:p w:rsidR="00600816" w:rsidRPr="00F57AC1" w:rsidRDefault="003B121A" w:rsidP="00F57AC1">
      <w:pPr>
        <w:pStyle w:val="21"/>
        <w:framePr w:w="6624" w:h="2990" w:hRule="exact" w:wrap="around" w:vAnchor="page" w:hAnchor="page" w:x="1561" w:y="11086"/>
        <w:numPr>
          <w:ilvl w:val="0"/>
          <w:numId w:val="6"/>
        </w:numPr>
        <w:shd w:val="clear" w:color="auto" w:fill="auto"/>
        <w:spacing w:before="0" w:line="264" w:lineRule="exact"/>
        <w:ind w:left="20" w:right="200"/>
        <w:jc w:val="left"/>
        <w:rPr>
          <w:sz w:val="24"/>
          <w:szCs w:val="24"/>
        </w:rPr>
      </w:pPr>
      <w:r w:rsidRPr="00F57AC1">
        <w:rPr>
          <w:sz w:val="24"/>
          <w:szCs w:val="24"/>
        </w:rPr>
        <w:t>Самарская область - 46 участников (2,7%); Ю.Республика Татарстан -44 участника (2,6%).</w:t>
      </w:r>
    </w:p>
    <w:p w:rsidR="00600816" w:rsidRPr="00F57AC1" w:rsidRDefault="00600816"/>
    <w:sectPr w:rsidR="00600816" w:rsidRPr="00F57AC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83" w:rsidRDefault="00435483">
      <w:r>
        <w:separator/>
      </w:r>
    </w:p>
  </w:endnote>
  <w:endnote w:type="continuationSeparator" w:id="0">
    <w:p w:rsidR="00435483" w:rsidRDefault="004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83" w:rsidRDefault="00435483"/>
  </w:footnote>
  <w:footnote w:type="continuationSeparator" w:id="0">
    <w:p w:rsidR="00435483" w:rsidRDefault="004354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2FFC"/>
    <w:multiLevelType w:val="multilevel"/>
    <w:tmpl w:val="0F2C5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65E1D"/>
    <w:multiLevelType w:val="multilevel"/>
    <w:tmpl w:val="84229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A6F8F"/>
    <w:multiLevelType w:val="multilevel"/>
    <w:tmpl w:val="14C648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A27F6"/>
    <w:multiLevelType w:val="multilevel"/>
    <w:tmpl w:val="9628FE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231FF7"/>
    <w:multiLevelType w:val="multilevel"/>
    <w:tmpl w:val="EF8451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7919FC"/>
    <w:multiLevelType w:val="multilevel"/>
    <w:tmpl w:val="FFB0A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16"/>
    <w:rsid w:val="003B121A"/>
    <w:rsid w:val="00435483"/>
    <w:rsid w:val="00600816"/>
    <w:rsid w:val="00F57AC1"/>
    <w:rsid w:val="00F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69378-A052-443F-9E0A-6DBCEA6E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6"/>
      <w:sz w:val="16"/>
      <w:szCs w:val="16"/>
      <w:u w:val="none"/>
    </w:rPr>
  </w:style>
  <w:style w:type="character" w:customStyle="1" w:styleId="61pt">
    <w:name w:val="Основной текст (6) + Интервал 1 pt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5pt0pt">
    <w:name w:val="Основной текст (6) + 5 pt;Интервал 0 pt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9pt0pt">
    <w:name w:val="Основной текст (6) + 9 pt;Интервал 0 pt"/>
    <w:basedOn w:val="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w w:val="60"/>
      <w:sz w:val="28"/>
      <w:szCs w:val="28"/>
      <w:u w:val="none"/>
    </w:rPr>
  </w:style>
  <w:style w:type="character" w:customStyle="1" w:styleId="1AngsanaUPC12pt0pt100">
    <w:name w:val="Заголовок №1 + AngsanaUPC;12 pt;Не полужирный;Интервал 0 pt;Масштаб 100%"/>
    <w:basedOn w:val="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AngsanaUPC22pt0pt100">
    <w:name w:val="Заголовок №1 + AngsanaUPC;22 pt;Не полужирный;Интервал 0 pt;Масштаб 100%"/>
    <w:basedOn w:val="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1AngsanaUPC12pt0pt1000">
    <w:name w:val="Заголовок №1 + AngsanaUPC;12 pt;Не полужирный;Интервал 0 pt;Масштаб 100%"/>
    <w:basedOn w:val="1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60"/>
      <w:position w:val="0"/>
      <w:sz w:val="28"/>
      <w:szCs w:val="28"/>
      <w:u w:val="single"/>
      <w:lang w:val="en-US" w:eastAsia="en-US" w:bidi="en-US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-2">
    <w:name w:val="Штрих-код (2)_"/>
    <w:basedOn w:val="a0"/>
    <w:link w:val="-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206" w:lineRule="exact"/>
      <w:jc w:val="center"/>
    </w:pPr>
    <w:rPr>
      <w:rFonts w:ascii="Times New Roman" w:eastAsia="Times New Roman" w:hAnsi="Times New Roman" w:cs="Times New Roman"/>
      <w:spacing w:val="-1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alibri" w:eastAsia="Calibri" w:hAnsi="Calibri" w:cs="Calibri"/>
      <w:spacing w:val="-6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pacing w:val="-1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06" w:lineRule="exact"/>
      <w:jc w:val="center"/>
    </w:pPr>
    <w:rPr>
      <w:rFonts w:ascii="Calibri" w:eastAsia="Calibri" w:hAnsi="Calibri" w:cs="Calibri"/>
      <w:spacing w:val="-8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9"/>
      <w:w w:val="60"/>
      <w:sz w:val="28"/>
      <w:szCs w:val="28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-20">
    <w:name w:val="Штрих-код (2)"/>
    <w:basedOn w:val="a"/>
    <w:link w:val="-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zbukaintemeta.ru/konkurs/zayavka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Company>SCCM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Лунев Евгений</cp:lastModifiedBy>
  <cp:revision>2</cp:revision>
  <dcterms:created xsi:type="dcterms:W3CDTF">2019-09-11T04:00:00Z</dcterms:created>
  <dcterms:modified xsi:type="dcterms:W3CDTF">2019-09-11T04:00:00Z</dcterms:modified>
</cp:coreProperties>
</file>